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24" w:rsidRDefault="00AE472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E4724" w:rsidRDefault="00AE4724">
      <w:pPr>
        <w:pStyle w:val="ConsPlusNormal"/>
        <w:jc w:val="both"/>
        <w:outlineLvl w:val="0"/>
      </w:pPr>
    </w:p>
    <w:p w:rsidR="00AE4724" w:rsidRDefault="00AE4724">
      <w:pPr>
        <w:pStyle w:val="ConsPlusTitle"/>
        <w:jc w:val="center"/>
        <w:outlineLvl w:val="0"/>
      </w:pPr>
      <w:r>
        <w:t>МИНИСТЕРСТВО ЗДРАВООХРАНЕНИЯ СВЕРДЛОВСКОЙ ОБЛАСТИ</w:t>
      </w:r>
    </w:p>
    <w:p w:rsidR="00AE4724" w:rsidRDefault="00AE4724">
      <w:pPr>
        <w:pStyle w:val="ConsPlusTitle"/>
        <w:jc w:val="center"/>
      </w:pPr>
      <w:r>
        <w:t>N 1775-п</w:t>
      </w:r>
    </w:p>
    <w:p w:rsidR="00AE4724" w:rsidRDefault="00AE4724">
      <w:pPr>
        <w:pStyle w:val="ConsPlusTitle"/>
        <w:jc w:val="center"/>
      </w:pPr>
    </w:p>
    <w:p w:rsidR="00AE4724" w:rsidRDefault="00AE4724">
      <w:pPr>
        <w:pStyle w:val="ConsPlusTitle"/>
        <w:jc w:val="center"/>
      </w:pPr>
      <w:r>
        <w:t>МИНИСТЕРСТВО ОБРАЗОВАНИЯ И МОЛОДЕЖНОЙ ПОЛИТИКИ</w:t>
      </w:r>
    </w:p>
    <w:p w:rsidR="00AE4724" w:rsidRDefault="00AE4724">
      <w:pPr>
        <w:pStyle w:val="ConsPlusTitle"/>
        <w:jc w:val="center"/>
      </w:pPr>
      <w:r>
        <w:t>СВЕРДЛОВСКОЙ ОБЛАСТИ</w:t>
      </w:r>
    </w:p>
    <w:p w:rsidR="00AE4724" w:rsidRDefault="00AE4724">
      <w:pPr>
        <w:pStyle w:val="ConsPlusTitle"/>
        <w:jc w:val="center"/>
      </w:pPr>
      <w:r>
        <w:t>N 770-Д</w:t>
      </w:r>
    </w:p>
    <w:p w:rsidR="00AE4724" w:rsidRDefault="00AE4724">
      <w:pPr>
        <w:pStyle w:val="ConsPlusTitle"/>
        <w:jc w:val="center"/>
      </w:pPr>
    </w:p>
    <w:p w:rsidR="00AE4724" w:rsidRDefault="00AE4724">
      <w:pPr>
        <w:pStyle w:val="ConsPlusTitle"/>
        <w:jc w:val="center"/>
      </w:pPr>
      <w:r>
        <w:t>ПРИКАЗ</w:t>
      </w:r>
    </w:p>
    <w:p w:rsidR="00AE4724" w:rsidRDefault="00AE4724">
      <w:pPr>
        <w:pStyle w:val="ConsPlusTitle"/>
        <w:jc w:val="center"/>
      </w:pPr>
      <w:r>
        <w:t>от 5 августа 2021 года</w:t>
      </w:r>
    </w:p>
    <w:p w:rsidR="00AE4724" w:rsidRDefault="00AE4724">
      <w:pPr>
        <w:pStyle w:val="ConsPlusTitle"/>
        <w:jc w:val="center"/>
      </w:pPr>
    </w:p>
    <w:p w:rsidR="00AE4724" w:rsidRDefault="00AE4724">
      <w:pPr>
        <w:pStyle w:val="ConsPlusTitle"/>
        <w:jc w:val="center"/>
      </w:pPr>
      <w:r>
        <w:t>О ВНЕСЕНИИ ИЗМЕНЕНИЙ В ПРИКАЗ МИНИСТЕРСТВА</w:t>
      </w:r>
    </w:p>
    <w:p w:rsidR="00AE4724" w:rsidRDefault="00AE4724">
      <w:pPr>
        <w:pStyle w:val="ConsPlusTitle"/>
        <w:jc w:val="center"/>
      </w:pPr>
      <w:r>
        <w:t>ЗДРАВООХРАНЕНИЯ СВЕРДЛОВСКОЙ ОБЛАСТИ И МИНИСТЕРСТВА</w:t>
      </w:r>
    </w:p>
    <w:p w:rsidR="00AE4724" w:rsidRDefault="00AE4724">
      <w:pPr>
        <w:pStyle w:val="ConsPlusTitle"/>
        <w:jc w:val="center"/>
      </w:pPr>
      <w:r>
        <w:t>ОБЩЕГО И ПРОФЕССИОНАЛЬНОГО ОБРАЗОВАНИЯ СВЕРДЛОВСКОЙ ОБЛАСТИ</w:t>
      </w:r>
    </w:p>
    <w:p w:rsidR="00AE4724" w:rsidRDefault="00AE4724">
      <w:pPr>
        <w:pStyle w:val="ConsPlusTitle"/>
        <w:jc w:val="center"/>
      </w:pPr>
      <w:r>
        <w:t>ОТ 03.08.2017/05.09.2017 N 1325-П/292-И "О МИНИМИЗАЦИИ</w:t>
      </w:r>
    </w:p>
    <w:p w:rsidR="00AE4724" w:rsidRDefault="00AE4724">
      <w:pPr>
        <w:pStyle w:val="ConsPlusTitle"/>
        <w:jc w:val="center"/>
      </w:pPr>
      <w:r>
        <w:t>РИСКОВ ИНФЕКЦИОННЫХ ЗАБОЛЕВАНИЙ В ОБРАЗОВАТЕЛЬНЫХ</w:t>
      </w:r>
    </w:p>
    <w:p w:rsidR="00AE4724" w:rsidRDefault="00AE4724">
      <w:pPr>
        <w:pStyle w:val="ConsPlusTitle"/>
        <w:jc w:val="center"/>
      </w:pPr>
      <w:r>
        <w:t>(ОЗДОРОВИТЕЛЬНЫХ) ОРГАНИЗАЦИЯХ СВЕРДЛОВСКОЙ ОБЛАСТИ"</w:t>
      </w: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101</w:t>
        </w:r>
      </w:hyperlink>
      <w:r>
        <w:t xml:space="preserve"> Областного закона от 10 марта 1999 года N 4-ОЗ "О правовых актах в Свердловской области" приказываем: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Свердловской области и Министерства общего и профессионального образования Свердловской области от 03.08.2017/05.09.2017 N 1325-п/292-И "О минимизации рисков инфекционных заболеваний в образовательных (оздоровительных) организациях Свердловской области" (далее - Приказ от 03.08.2017/05.09.2017 N 1325-п/292-И) следующие изменения: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пункте 2</w:t>
        </w:r>
      </w:hyperlink>
      <w:r>
        <w:t xml:space="preserve"> слова "Руководителям территориальных отделов здравоохранения по Горнозаводскому управленческому округу Г.А. Борисевич, Южному управленческому округу Н.И. </w:t>
      </w:r>
      <w:proofErr w:type="spellStart"/>
      <w:r>
        <w:t>Крахтовой</w:t>
      </w:r>
      <w:proofErr w:type="spellEnd"/>
      <w:r>
        <w:t xml:space="preserve">, Западному управленческому округу Е.С. </w:t>
      </w:r>
      <w:proofErr w:type="spellStart"/>
      <w:r>
        <w:t>Жолобовой</w:t>
      </w:r>
      <w:proofErr w:type="spellEnd"/>
      <w:r>
        <w:t>, главным врачам ГБУЗ СО "</w:t>
      </w:r>
      <w:proofErr w:type="spellStart"/>
      <w:r>
        <w:t>Ирбитская</w:t>
      </w:r>
      <w:proofErr w:type="spellEnd"/>
      <w:r>
        <w:t xml:space="preserve"> центральная городская больница" А.В. </w:t>
      </w:r>
      <w:proofErr w:type="spellStart"/>
      <w:r>
        <w:t>Чуракову</w:t>
      </w:r>
      <w:proofErr w:type="spellEnd"/>
      <w:r>
        <w:t>, ГАУЗ СО "</w:t>
      </w:r>
      <w:proofErr w:type="spellStart"/>
      <w:r>
        <w:t>Краснотурьинская</w:t>
      </w:r>
      <w:proofErr w:type="spellEnd"/>
      <w:r>
        <w:t xml:space="preserve"> городская больница" А.Н. </w:t>
      </w:r>
      <w:proofErr w:type="spellStart"/>
      <w:r>
        <w:t>Малькову</w:t>
      </w:r>
      <w:proofErr w:type="spellEnd"/>
      <w:r>
        <w:t xml:space="preserve">" заменить словами "Главным врачам государственного автономного учреждения здравоохранения Свердловской области "Детская городская больница город Нижний Тагил" Д.М. Клейменову, государственного автономного учреждения здравоохранения Свердловской области "Детская городская больница город Каменск-Уральский" С.А. </w:t>
      </w:r>
      <w:proofErr w:type="spellStart"/>
      <w:r>
        <w:t>Гультяеву</w:t>
      </w:r>
      <w:proofErr w:type="spellEnd"/>
      <w:r>
        <w:t xml:space="preserve">, государственного автономного учреждения здравоохранения Свердловской области "Городская больница город Асбест" И.В. Брагину, государственного автономного учреждения здравоохранения Свердловской области "Детская городская больница город Первоуральск" О.В. </w:t>
      </w:r>
      <w:proofErr w:type="spellStart"/>
      <w:r>
        <w:t>Шайдуровой</w:t>
      </w:r>
      <w:proofErr w:type="spellEnd"/>
      <w:r>
        <w:t>, государственного автономного учреждения здравоохранения Свердловской области "</w:t>
      </w:r>
      <w:proofErr w:type="spellStart"/>
      <w:r>
        <w:t>Ирбитская</w:t>
      </w:r>
      <w:proofErr w:type="spellEnd"/>
      <w:r>
        <w:t xml:space="preserve"> центральная городская больница" Д.А. </w:t>
      </w:r>
      <w:proofErr w:type="spellStart"/>
      <w:r>
        <w:t>Подушкину</w:t>
      </w:r>
      <w:proofErr w:type="spellEnd"/>
      <w:r>
        <w:t>, государственного автономного учреждения здравоохранения Свердловской области "</w:t>
      </w:r>
      <w:proofErr w:type="spellStart"/>
      <w:r>
        <w:t>Краснотурьинская</w:t>
      </w:r>
      <w:proofErr w:type="spellEnd"/>
      <w:r>
        <w:t xml:space="preserve"> городская больница" А.Н. </w:t>
      </w:r>
      <w:proofErr w:type="spellStart"/>
      <w:r>
        <w:t>Малькову</w:t>
      </w:r>
      <w:proofErr w:type="spellEnd"/>
      <w:r>
        <w:t>";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3) </w:t>
      </w:r>
      <w:hyperlink r:id="rId9" w:history="1">
        <w:r>
          <w:rPr>
            <w:color w:val="0000FF"/>
          </w:rPr>
          <w:t>подпункт 2 пункта 5</w:t>
        </w:r>
      </w:hyperlink>
      <w:r>
        <w:t xml:space="preserve"> дополнить частью 3 следующего содержания: "использование в работе методических </w:t>
      </w:r>
      <w:hyperlink r:id="rId10" w:history="1">
        <w:r>
          <w:rPr>
            <w:color w:val="0000FF"/>
          </w:rPr>
          <w:t>рекомендаций</w:t>
        </w:r>
      </w:hyperlink>
      <w:r>
        <w:t xml:space="preserve"> МР 2.4.0180-20 "Родительский контроль за организацией горячего питания в общеобразовательных организациях", утвержденных Главным государственным санитарным врачом Российской Федерации А.Ю. Поповой 18.05.2020.";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пункты 6</w:t>
        </w:r>
      </w:hyperlink>
      <w:r>
        <w:t xml:space="preserve"> считать пунктами 6 и 7 соответственно и изложить в следующей редакции: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"6. Ответственность за выполнение настоящего Приказа возложить на начальника отдела воспитания, профилактики и комплексной безопасности системы образования Министерства образования и молодежной политики Свердловской области Д.А. Шиловских и начальника отдела организации медицинской помощи матерям и детям Министерства здравоохранения Свердловской области Е.В. Савельеву.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7. Контроль за исполнением настоящего Приказа возложить на Заместителя Министра здравоохранения Свердловской области Е.А. </w:t>
      </w:r>
      <w:proofErr w:type="spellStart"/>
      <w:r>
        <w:t>Чадову</w:t>
      </w:r>
      <w:proofErr w:type="spellEnd"/>
      <w:r>
        <w:t xml:space="preserve"> и Заместителя Министра образования и молодежной политики Свердловской области Ю.Н. </w:t>
      </w:r>
      <w:proofErr w:type="spellStart"/>
      <w:r>
        <w:t>Зеленова</w:t>
      </w:r>
      <w:proofErr w:type="spellEnd"/>
      <w:r>
        <w:t>.".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2. Внести в </w:t>
      </w:r>
      <w:hyperlink r:id="rId12" w:history="1">
        <w:r>
          <w:rPr>
            <w:color w:val="0000FF"/>
          </w:rPr>
          <w:t>приложение</w:t>
        </w:r>
      </w:hyperlink>
      <w:r>
        <w:t xml:space="preserve"> к Приказу от 03.08.2017/05.09.2017 N 1325-п/292-И изменения, изложив его в новой редакции </w:t>
      </w:r>
      <w:hyperlink w:anchor="P52" w:history="1">
        <w:r>
          <w:rPr>
            <w:color w:val="0000FF"/>
          </w:rPr>
          <w:t>(приложение)</w:t>
        </w:r>
      </w:hyperlink>
      <w:r>
        <w:t>.</w:t>
      </w:r>
    </w:p>
    <w:p w:rsidR="00AE4724" w:rsidRDefault="00AE472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AE472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E4724" w:rsidRDefault="00AE4724">
            <w:pPr>
              <w:pStyle w:val="ConsPlusNormal"/>
            </w:pPr>
            <w:r>
              <w:lastRenderedPageBreak/>
              <w:t>Министр здравоохранения</w:t>
            </w:r>
          </w:p>
          <w:p w:rsidR="00AE4724" w:rsidRDefault="00AE4724">
            <w:pPr>
              <w:pStyle w:val="ConsPlusNormal"/>
            </w:pPr>
            <w:r>
              <w:t>Свердловской области</w:t>
            </w:r>
          </w:p>
          <w:p w:rsidR="00AE4724" w:rsidRDefault="00AE4724">
            <w:pPr>
              <w:pStyle w:val="ConsPlusNormal"/>
            </w:pPr>
          </w:p>
          <w:p w:rsidR="00AE4724" w:rsidRDefault="00AE4724">
            <w:pPr>
              <w:pStyle w:val="ConsPlusNormal"/>
            </w:pPr>
          </w:p>
          <w:p w:rsidR="00AE4724" w:rsidRDefault="00AE4724">
            <w:pPr>
              <w:pStyle w:val="ConsPlusNormal"/>
            </w:pPr>
            <w:r>
              <w:t>А.А.КАРЛОВ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E4724" w:rsidRDefault="00AE4724">
            <w:pPr>
              <w:pStyle w:val="ConsPlusNormal"/>
              <w:jc w:val="right"/>
            </w:pPr>
            <w:r>
              <w:t>Исполняющий обязанности</w:t>
            </w:r>
          </w:p>
          <w:p w:rsidR="00AE4724" w:rsidRDefault="00AE4724">
            <w:pPr>
              <w:pStyle w:val="ConsPlusNormal"/>
              <w:jc w:val="right"/>
            </w:pPr>
            <w:r>
              <w:t>Министра образования</w:t>
            </w:r>
          </w:p>
          <w:p w:rsidR="00AE4724" w:rsidRDefault="00AE4724">
            <w:pPr>
              <w:pStyle w:val="ConsPlusNormal"/>
              <w:jc w:val="right"/>
            </w:pPr>
            <w:r>
              <w:t>и молодежной политики</w:t>
            </w:r>
          </w:p>
          <w:p w:rsidR="00AE4724" w:rsidRDefault="00AE4724">
            <w:pPr>
              <w:pStyle w:val="ConsPlusNormal"/>
              <w:jc w:val="right"/>
            </w:pPr>
            <w:r>
              <w:t>Свердловской области</w:t>
            </w:r>
          </w:p>
          <w:p w:rsidR="00AE4724" w:rsidRDefault="00AE4724">
            <w:pPr>
              <w:pStyle w:val="ConsPlusNormal"/>
              <w:jc w:val="right"/>
            </w:pPr>
            <w:r>
              <w:t>Н.В.ЖУРАВЛЕВА</w:t>
            </w:r>
          </w:p>
        </w:tc>
      </w:tr>
    </w:tbl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right"/>
        <w:outlineLvl w:val="0"/>
      </w:pPr>
      <w:r>
        <w:t>Приложение</w:t>
      </w:r>
    </w:p>
    <w:p w:rsidR="00AE4724" w:rsidRDefault="00AE4724">
      <w:pPr>
        <w:pStyle w:val="ConsPlusNormal"/>
        <w:jc w:val="right"/>
      </w:pPr>
      <w:r>
        <w:t>к Приказу</w:t>
      </w:r>
    </w:p>
    <w:p w:rsidR="00AE4724" w:rsidRDefault="00AE4724">
      <w:pPr>
        <w:pStyle w:val="ConsPlusNormal"/>
        <w:jc w:val="right"/>
      </w:pPr>
      <w:r>
        <w:t>Министерства здравоохранения</w:t>
      </w:r>
    </w:p>
    <w:p w:rsidR="00AE4724" w:rsidRDefault="00AE4724">
      <w:pPr>
        <w:pStyle w:val="ConsPlusNormal"/>
        <w:jc w:val="right"/>
      </w:pPr>
      <w:r>
        <w:t>Свердловской области и</w:t>
      </w:r>
    </w:p>
    <w:p w:rsidR="00AE4724" w:rsidRDefault="00AE4724">
      <w:pPr>
        <w:pStyle w:val="ConsPlusNormal"/>
        <w:jc w:val="right"/>
      </w:pPr>
      <w:r>
        <w:t>Министерства образования и</w:t>
      </w:r>
    </w:p>
    <w:p w:rsidR="00AE4724" w:rsidRDefault="00AE4724">
      <w:pPr>
        <w:pStyle w:val="ConsPlusNormal"/>
        <w:jc w:val="right"/>
      </w:pPr>
      <w:r>
        <w:t>молодежной политики</w:t>
      </w:r>
    </w:p>
    <w:p w:rsidR="00AE4724" w:rsidRDefault="00AE4724">
      <w:pPr>
        <w:pStyle w:val="ConsPlusNormal"/>
        <w:jc w:val="right"/>
      </w:pPr>
      <w:r>
        <w:t>Свердловской области</w:t>
      </w:r>
    </w:p>
    <w:p w:rsidR="00AE4724" w:rsidRDefault="00AE4724">
      <w:pPr>
        <w:pStyle w:val="ConsPlusNormal"/>
        <w:jc w:val="right"/>
      </w:pPr>
      <w:r>
        <w:t>от 5 августа 2021 г. N 1775-п/770-Д</w:t>
      </w: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Title"/>
        <w:jc w:val="center"/>
      </w:pPr>
      <w:bookmarkStart w:id="0" w:name="P52"/>
      <w:bookmarkEnd w:id="0"/>
      <w:r>
        <w:t>АЛГОРИТМ</w:t>
      </w:r>
    </w:p>
    <w:p w:rsidR="00AE4724" w:rsidRDefault="00AE4724">
      <w:pPr>
        <w:pStyle w:val="ConsPlusTitle"/>
        <w:jc w:val="center"/>
      </w:pPr>
      <w:r>
        <w:t>КОНТРОЛЯ ПИЩЕБЛОКА ОБРАЗОВАТЕЛЬНОЙ (ОЗДОРОВИТЕЛЬНОЙ)</w:t>
      </w:r>
    </w:p>
    <w:p w:rsidR="00AE4724" w:rsidRDefault="00AE4724">
      <w:pPr>
        <w:pStyle w:val="ConsPlusTitle"/>
        <w:jc w:val="center"/>
      </w:pPr>
      <w:r>
        <w:t>ОРГАНИЗАЦИИ ДЛЯ ДЕТЕЙ И ПОДРОСТКОВ С ЦЕЛЬЮ ПРОФИЛАКТИКИ</w:t>
      </w:r>
    </w:p>
    <w:p w:rsidR="00AE4724" w:rsidRDefault="00AE4724">
      <w:pPr>
        <w:pStyle w:val="ConsPlusTitle"/>
        <w:jc w:val="center"/>
      </w:pPr>
      <w:r>
        <w:t>ИНФЕКЦИОННЫХ ЗАБОЛЕВАНИЙ И ПИЩЕВЫХ ОТРАВЛЕНИЙ</w:t>
      </w: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ind w:firstLine="540"/>
        <w:jc w:val="both"/>
      </w:pPr>
      <w:r>
        <w:t>Контроль за соблюдением требований санитарного законодательства на пищеблоке образовательной (оздоровительной) организации для детей и подростков (далее - организация) медицинским работником с целью профилактики инфекционных заболеваний и пищевых отравлений должен осуществляться в соответствии с требованиями нормативных документов, регламентирующих требования к обеспечению качественного и безопасного питания в данных организациях: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 января 2000 года N 29-ФЗ "О качестве и безопасности пищевой продукции";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санитарные правила </w:t>
      </w:r>
      <w:hyperlink r:id="rId14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А.Ю. Поповой от 28.09.2020 N 28;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санитарные правила и нормы </w:t>
      </w:r>
      <w:hyperlink r:id="rId15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А.Ю. Поповой от 28.01.2021 N 2;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санитарно-эпидемиологические правила и нормы </w:t>
      </w:r>
      <w:hyperlink r:id="rId16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А.Ю. Поповой от 27.10.2020 N 32 (далее - СанПиН 2.3/2.4.3590-20);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санитарно-эпидемиологические правила </w:t>
      </w:r>
      <w:hyperlink r:id="rId17" w:history="1">
        <w:r>
          <w:rPr>
            <w:color w:val="0000FF"/>
          </w:rPr>
          <w:t>СП 3.1/2.4.3598-20</w:t>
        </w:r>
      </w:hyperlink>
      <w:r>
        <w:t xml:space="preserve">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утвержденные Постановлением Главного государственного санитарного врача Российской Федерации А.Ю. Поповой от 30.06.2020 N 16;</w:t>
      </w:r>
    </w:p>
    <w:p w:rsidR="00AE4724" w:rsidRDefault="00AE4724">
      <w:pPr>
        <w:pStyle w:val="ConsPlusNormal"/>
        <w:spacing w:before="200"/>
        <w:ind w:firstLine="540"/>
        <w:jc w:val="both"/>
      </w:pPr>
      <w:hyperlink r:id="rId18" w:history="1">
        <w:r>
          <w:rPr>
            <w:color w:val="0000FF"/>
          </w:rPr>
          <w:t>ТР ТС 021/2011</w:t>
        </w:r>
      </w:hyperlink>
      <w:r>
        <w:t xml:space="preserve"> Технический регламент Таможенного союза "О безопасности пищевой продукции", утвержденный Решением Комиссии Таможенного союза от 09.12.2011 N 880 (далее - ТР ТС 021/2011);</w:t>
      </w:r>
    </w:p>
    <w:p w:rsidR="00AE4724" w:rsidRDefault="00AE4724">
      <w:pPr>
        <w:pStyle w:val="ConsPlusNormal"/>
        <w:spacing w:before="200"/>
        <w:ind w:firstLine="540"/>
        <w:jc w:val="both"/>
      </w:pPr>
      <w:hyperlink r:id="rId19" w:history="1">
        <w:r>
          <w:rPr>
            <w:color w:val="0000FF"/>
          </w:rPr>
          <w:t>ТР ТС 022/2011</w:t>
        </w:r>
      </w:hyperlink>
      <w:r>
        <w:t xml:space="preserve"> Технический регламент Таможенного союза "Пищевая продукция в части ее маркировки", утвержденный Решением Комиссии Таможенного союза от 09.12.2011 N 881;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методические рекомендации </w:t>
      </w:r>
      <w:hyperlink r:id="rId20" w:history="1">
        <w:r>
          <w:rPr>
            <w:color w:val="0000FF"/>
          </w:rPr>
          <w:t>МР 2.3.6.0233-21</w:t>
        </w:r>
      </w:hyperlink>
      <w:r>
        <w:t xml:space="preserve"> "Методические рекомендации к организации общественного питания населения", утвержденные Главным государственным санитарным врачом Российской Федерации А.Ю. Поповой 02.03.2021;</w:t>
      </w:r>
    </w:p>
    <w:p w:rsidR="00AE4724" w:rsidRDefault="00AE472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4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724" w:rsidRDefault="00AE472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E4724" w:rsidRDefault="00AE472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"Рекомендации по организации работы организаций отдыха детей и их оздоровления в условиях сохранения рисков распространения (COVID-19) в 2021 году", утвержденные Главным государственным санитарным врачом Российской Федерации А.Ю. Поповой 29.03.2021 имеют номер МР 3.1/2.4.0239-21, а не МР 3.1/2.4.0139-21.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</w:tr>
    </w:tbl>
    <w:p w:rsidR="00AE4724" w:rsidRDefault="00AE4724">
      <w:pPr>
        <w:pStyle w:val="ConsPlusNormal"/>
        <w:spacing w:before="260"/>
        <w:ind w:firstLine="540"/>
        <w:jc w:val="both"/>
      </w:pPr>
      <w:r>
        <w:t xml:space="preserve">методические рекомендации </w:t>
      </w:r>
      <w:hyperlink r:id="rId21" w:history="1">
        <w:r>
          <w:rPr>
            <w:color w:val="0000FF"/>
          </w:rPr>
          <w:t>МР 3.1/2.4.0139-21</w:t>
        </w:r>
      </w:hyperlink>
      <w:r>
        <w:t xml:space="preserve"> "Рекомендации по организации работы организаций отдыха детей и их оздоровления в условиях сохранения рисков распространения (COVID-19) в 2021 году", утвержденные Главным государственным санитарным врачом Российской Федерации А.Ю. Поповой 29.03.2021.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частями 2</w:t>
        </w:r>
      </w:hyperlink>
      <w:r>
        <w:t xml:space="preserve"> и </w:t>
      </w:r>
      <w:hyperlink r:id="rId23" w:history="1">
        <w:r>
          <w:rPr>
            <w:color w:val="0000FF"/>
          </w:rPr>
          <w:t>3 статьи 10</w:t>
        </w:r>
      </w:hyperlink>
      <w:r>
        <w:t xml:space="preserve">, а также </w:t>
      </w:r>
      <w:hyperlink r:id="rId24" w:history="1">
        <w:r>
          <w:rPr>
            <w:color w:val="0000FF"/>
          </w:rPr>
          <w:t>частями 3</w:t>
        </w:r>
      </w:hyperlink>
      <w:r>
        <w:t xml:space="preserve"> и </w:t>
      </w:r>
      <w:hyperlink r:id="rId25" w:history="1">
        <w:r>
          <w:rPr>
            <w:color w:val="0000FF"/>
          </w:rPr>
          <w:t>4 статьи 11</w:t>
        </w:r>
      </w:hyperlink>
      <w:r>
        <w:t xml:space="preserve"> ТР ТС 021/2011 в организации должны быть разработаны, внедрены и поддерживаться процедуры, основанные на принципах ХАССП, определены опасные факторы, выбраны критические контрольные точки (далее - ККТ), определены контролируемые параметры в каждой ККТ, методы и периодичность контроля в ККТ, документирование всех контролируемых параметров.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6" w:history="1">
        <w:r>
          <w:rPr>
            <w:color w:val="0000FF"/>
          </w:rPr>
          <w:t>пунктом 2.1</w:t>
        </w:r>
      </w:hyperlink>
      <w:r>
        <w:t xml:space="preserve"> СанПиН 2.3/2.4.3590-20 предприятия общественного питания должны проводить производственный контроль, основанный на принципах ХАССП (в английской транскрипции HACCP -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Points</w:t>
      </w:r>
      <w:proofErr w:type="spellEnd"/>
      <w:r>
        <w:t>),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Таким образом, вся система контроля за безопасностью пищевой продукции и процессов ее изготовления, хранения, реализации в организации выстраивается с учетом разработанной и внедренной системы контроля за безопасностью.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Организации, осуществляющие питание детей в организованных коллективах, должны размещать в доступных для родителей и детей местах (в обеденном зале, холле, групповой ячейке) следующую информацию: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1) ежедневное меню основного (организованного) питания на сутки для всех возрастных групп детей с указанием наименований приема пищи, блюда, массы и калорийности порции;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меню дополнительного питания (для обучающихся общеобразовательных профессиональных образовательных организаций) с указанием наименования блюда, массы и калорийности порции;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3) рекомендации по организации здорового питания детей.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целях контроля за наиболее опасными факторами в эпидемиологическом отношении рекомендуется учитывать следующие особенности: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1. Условия хранения и перевозки (транспортирования) пищевой продукции.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Транспортировка и приемка пищевой продукции: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1) требования к транспорту: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транспортирование сырья и пищевых продуктов осуществляется специально предназначенными или специально оборудованными для таких целей транспортными средствами, которые должны быть в исправном состоянии, иметь гигиеническое покрытие внутренней поверхности кузова машины, легко поддающееся мойке и дезинфекции;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транспортные средства для перевозки пищевой продукции должны быть чистыми (мойка в ежедневном режиме) и не менее 1 раза в месяц должны подвергаться дезинфекции (контроль - по наличию документов с отметкой о дате последней обработки не более 1 месяца);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внутренняя поверхность грузовых отделений транспортных средств и контейнеров должна быть выполнена из моющихся и нетоксичных материалов;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не допускается транспортировка продовольственных пищевых продуктов совместно с </w:t>
      </w:r>
      <w:r>
        <w:lastRenderedPageBreak/>
        <w:t>непродовольственными товарами, остро пахнущими и опасными веществами;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продовольственное сырье и готовая продукция при транспортировке не должны контактировать друг с другом;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условия транспортировки (температура, влажность) должны соответствовать требованиям нормативной и технической документации на каждый вид пищевых продуктов (оценка по данным маркировки продукции - температура, влажность);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скоропортящиеся и особо скоропортящиеся продукты перевозят охлаждаемым или изотермическим транспортом, обеспечивающим сохранение температурных режимов транспортировки;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требования к персоналу: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работники, занятые на работах, которые связаны с хранением, перевозкой (транспортированием) и реализацией пищевой продукции и при выполнении которых осуществляются непосредственные контакты работников с продовольственным (пищевым) сырьем и (или) пищевой продукцией, проходят обязательные предварительные при поступлении на работу и периодические медицинские осмотры в соответствии с законодательством;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лица, больные инфекционными заболеваниями и (или) с подозрением на такие заболевания, контактировавшие с больными инфекционными заболеваниями, а также являющиеся носителями возбудителей инфекционных заболеваний, не допускаются к работам, связанным с хранением, перевозкой (транспортированием) и реализацией пищевой продукции;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с учетом ее смены по мере загрязнения;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3) требования к продукции: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 1 марта текущего года (ежегодно) приготовление салатов и холодных закусок из сырых овощей допускается только из овощей свежего урожая, овощи прошлогоднего урожая могут использоваться после прохождения тепловой обработки (варка, запекание и другие);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прием пищевой продукции, в том числе продовольственного сырья, на предприятие общественного питания должен осуществляться при наличии маркировки и товаросопроводительной документации, сведений об оценке (подтверждении) соответствия;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случае нарушений условий и режима перевозки, а также отсутствия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 приемке скоропортящейся продукции необходимо проводить контроль за температурой, при которой транспортировалась продукция, особенно в весенне-летний период (по наличию отметки в товарно-транспортных документах о температуре в момент отгрузки, по датчику в транспорте либо замерами в момент приемки с помощью контактного термометра);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количество поставляемых скоропортящихся продуктов должно соответствовать объемам работающего в организации холодильного оборудования;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транспортная тара должна иметь маркировку в соответствии с нормативными документами, в том числе обязательно: наименование пищевой продукции, количество пищевой продукции, дату изготовления пищевой продукции, срок годности пищевой продукции, условия хранения пищевой продукции, сведения, позволяющие идентифицировать партию пищевой продукции (например, номер партии), наименование и место нахождения изготовителя пищевой продукции или фамилию, имя, отчество и место нахождения индивидуального предпринимателя - изготовителя пищевой продукции;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сопроводительная документация, подтверждающая происхождение, качество и безопасность продукции, должна включать в себя: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товарно-транспортную накладную;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документы о безопасности продукции: копию декларации (или информацию в сопроводительных документах о декларации о соответствии, в том числе ее регистрационный номер, срок ее действия, </w:t>
      </w:r>
      <w:r>
        <w:lastRenderedPageBreak/>
        <w:t xml:space="preserve">наименование лица, принявшего декларацию, и орган, ее зарегистрировавший), на </w:t>
      </w:r>
      <w:proofErr w:type="spellStart"/>
      <w:r>
        <w:t>непереработанную</w:t>
      </w:r>
      <w:proofErr w:type="spellEnd"/>
      <w:r>
        <w:t xml:space="preserve"> продукцию животного происхождения (по определению в соответствии со </w:t>
      </w:r>
      <w:hyperlink r:id="rId27" w:history="1">
        <w:r>
          <w:rPr>
            <w:color w:val="0000FF"/>
          </w:rPr>
          <w:t>статьей 4</w:t>
        </w:r>
      </w:hyperlink>
      <w:r>
        <w:t xml:space="preserve"> ТР ТС 021/2011) - оригинал документа о проведении ветеринарно-санитарной экспертизы (справка, свидетельство), на специализированную пищевую продукцию (в соответствии с </w:t>
      </w:r>
      <w:hyperlink r:id="rId28" w:history="1">
        <w:r>
          <w:rPr>
            <w:color w:val="0000FF"/>
          </w:rPr>
          <w:t>частью 1 статьи 24</w:t>
        </w:r>
      </w:hyperlink>
      <w:r>
        <w:t xml:space="preserve"> ТР ТС 021/2011) - копию свидетельства о государственной регистрации;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 оценке качества поступающей продукции должна проводиться оценка целостности упаковки и органолептическая оценка (внешний вид, цвет, консистенция, запах и вкус продукта).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Необходимо исключить прием следующих продуктов: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без документов, подтверждающих происхождение, качество и безопасность;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без маркировки;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имеющих явные признаки недоброкачественности;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без установленных сроков годности или сроки годности которых истекли;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мясо и субпродукты всех видов сельскохозяйственных животных без клейма и ветеринарных документов;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рыбу, раков, сельскохозяйственную птицу без ветеринарных документов;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мясо продуктивных животных механической обвалки и мясо птицы механической обвалки;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продукты убоя продуктивных животных и птицы, сырье из рыбы и нерыбных объектов промысла, подвергнутое повторному замораживанию;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блоки, замороженные из различных видов </w:t>
      </w:r>
      <w:proofErr w:type="spellStart"/>
      <w:r>
        <w:t>жилованного</w:t>
      </w:r>
      <w:proofErr w:type="spellEnd"/>
      <w:r>
        <w:t xml:space="preserve"> мяса животных, а также субпродуктов (печени, языка, сердца) со сроками годности более 6 месяцев;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говядину </w:t>
      </w:r>
      <w:proofErr w:type="spellStart"/>
      <w:r>
        <w:t>жилованную</w:t>
      </w:r>
      <w:proofErr w:type="spellEnd"/>
      <w:r>
        <w:t xml:space="preserve"> с массовой долей соединительной и жировой ткани свыше 20 процентов, свинину </w:t>
      </w:r>
      <w:proofErr w:type="spellStart"/>
      <w:r>
        <w:t>жилованную</w:t>
      </w:r>
      <w:proofErr w:type="spellEnd"/>
      <w:r>
        <w:t xml:space="preserve"> с массовой долей жировой ткани свыше 70 процентов, баранину </w:t>
      </w:r>
      <w:proofErr w:type="spellStart"/>
      <w:r>
        <w:t>жилованную</w:t>
      </w:r>
      <w:proofErr w:type="spellEnd"/>
      <w:r>
        <w:t xml:space="preserve"> с массовой долей жировой ткани свыше 9 процентов;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мясо быков, хряков и тощих животных;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субпродукты продуктивных животных и птицы, за исключением печени, языка, сердца и крови;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яйца и мясо водоплавающих птиц;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соки концентрированные диффузионные;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растительное масло хлопковое;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гидрогенизированные масла и жиры;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жгучие специи (перец, хрен, горчица);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непотрошеную птицу;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яйца с загрязненной скорлупой, с насечкой, "тек", "бой", а также яйца из хозяйств, неблагополучных по сальмонеллезам, утиные и гусиные яйца;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консервы с нарушением герметичности банок ("</w:t>
      </w:r>
      <w:proofErr w:type="spellStart"/>
      <w:r>
        <w:t>бомбажные</w:t>
      </w:r>
      <w:proofErr w:type="spellEnd"/>
      <w:r>
        <w:t>", "</w:t>
      </w:r>
      <w:proofErr w:type="spellStart"/>
      <w:r>
        <w:t>хлопуши</w:t>
      </w:r>
      <w:proofErr w:type="spellEnd"/>
      <w:r>
        <w:t>"), банки с ржавчиной, деформированные, без этикеток;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крупу, муку, сухофрукты и другие продукты, зараженные амбарными вредителями;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овощи и фрукты с наличием плесени и признаками гнили;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грибы несъедобные, некультивируемые съедобные, червивые, мятые;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продукцию домашнего изготовления.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 xml:space="preserve">Согласно </w:t>
      </w:r>
      <w:hyperlink r:id="rId29" w:history="1">
        <w:r>
          <w:rPr>
            <w:color w:val="0000FF"/>
          </w:rPr>
          <w:t>приложению N 6</w:t>
        </w:r>
      </w:hyperlink>
      <w:r>
        <w:t xml:space="preserve"> СанПиН 2.3/2.4.3590-20 колбасы входят в перечень пищевой продукции, которая не допускается при организации питания детей.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Условия хранения продовольственного сырья и пищевой продукции: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нанесенную непосредственно на транспортную упаковку маркировку рекомендуется сохранять до окончания реализации пищевой продукции;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крупу и муку, макаронные изделия, сахар, соль, чай, кофе и другие сыпучие продукты рекомендуется размещать на подтоварниках или стеллажах на расстоянии не менее 14 сантиметров от пола и не менее 20 сантиметров от наружной стены и хранить при условиях, установленных производителем, в сухих проветриваемых помещениях или помещениях, оборудованных приточно-вытяжной вентиляцией;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пищевые продукты, имеющие специфический запах 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сырье и готовые продукты следует хранить в отдельных холодильных камерах,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холодильных камерах рекомендуется создавать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камеры;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хранение мороженого мяса обеспечивается на стеллажах или подтоварниках;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мясные полуфабрикаты, субпродукты, птица мороженая и охлажденная хранятся в транспортной таре поставщика,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рекомендуется обеспечивать условия хранения охлажденной и мороженой рыбы (филе рыбное) в транспортной упаковке в соответствии с условиями хранения, установленными изготовителем;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сметана и творог хранятся в потребительской или транспортной упаковке. Не рекомендуется оставлять ложки, лопатки, черпаки и другой инвентарь в таре с творогом и сметаной;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(должны быть оборудованы термометрами (психрометрами));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 хранении пищевых продуктов необходимо строго соблюдать правила товарного соседства, нормы складирования, сроки годности и условия хранения, установленные изготовителем (по информации на маркировке продукции);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предотвращения размножения патогенных микроорганизмов готовые блюда должны быть реализованы не позднее 2 часов с момента изготовления.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Последовательность, поточность: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расположение производственных помещений должно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посуды, а также встречного движения посетителей и персонала;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для предотвращения размножения патогенных микроорганизмов не допускается привлечение к приготовлению, </w:t>
      </w:r>
      <w:proofErr w:type="spellStart"/>
      <w:r>
        <w:t>порционированию</w:t>
      </w:r>
      <w:proofErr w:type="spellEnd"/>
      <w: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2. Технологический процесс и готовая кулинарная продукция: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1) выбор технологии изготовления: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оценка ассортиментного перечня вырабатываемой продукции (меню, меню-раскладок);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на каждое кулинарное изделие, блюдо утвержденных технико-технологических карт (ТТК, ТК, ТУ, ТИ и другие) и их соответствие нормативным документам (рецептуре, закладке, показателям качества и безопасности, технологии изготовления);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контроль за выполнением технологии приготовления кулинарных изделий и блюд: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рецептур по закладке и технологии приготовления в соответствии с технико-технологической картой;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правил обработки, подготовки сырья и условий хранения обработанных пищевых продуктов, в том числе: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правил обработки яйца (наличие специально выделенного места, спецодежды и разделочного инвентаря с маркировкой "КС", емкостей для обработки яйца, наличие инструкции по обработке в соответствии с используемым средством, соблюдение последовательности обработки, применение разрешенных для использования в пищевой промышленности дезинфицирующих средств);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требований по обработке сырых овощей и зелени, предназначенных для приготовления холодных закусок без термической обработки, с целью профилактики гельминтозов (наличие инструкции по обработке, наличие средств (соль, уксус и другие средства), используемых для обработки, наличие емкостей, используемых для обработки с указанием литража);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требований к высоте слоя, температуры и времени выпекания запеканок и омлетов (омлеты и запеканки, в рецептуру которых входит яйцо, готовятся в жарочном шкафу, омлеты - в течение 8 - 10 минут при температуре 180 - 200 град. C, слоем не более 2,5 - 3 см; запеканки - 20 - 30 минут при температуре 220 - 280 град. C, слоем не более 3 - 4 см);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хранение яичной массы осуществляется не более 30 минут при температуре 4 +/- 2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очищенные картофель, корнеплоды и другие овощи во избежание потемнения, высушивания рекомендуется хранить в холодной воде не более 2 часов;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суфле, запеканки готовятся из вареного мяса (птицы);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формованные изделия из сырого мясного или рыбного фарша готовятся на пару или запеченными в соусе;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рыба (филе) кусками отваривается, припускается, тушится или запекается;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котлеты, биточки из мясного или рыбного фарша, рыбу кусками запекают при температуре 250 - 280 град. C в течение 20 - 25 минут;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+75 град. C до раздачи не более 1 часа;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оладьи, сырники выпекаются в духовом или жарочном шкафу при температуре 180 - 200 град. C в течение 8 - 10 мин.;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яйцо варят после закипания воды 10 минут;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Подробные требования к соблюдению технологии приготовления блюд и термической обработке указаны в профильных санитарных нормах и правилах;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3) контроль за соблюдением условий и сроков хранения готовой пищи и ее раздачей: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готовые первые и вторые блюда с момента приготовления до отпуска могут находиться на мармите или горячей плите не более 2 часов с момента изготовления либо в изотермической таре (термосах) не более 2 часов;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для дошкольных образовательных организаций: горячие блюда (супы, соусы, горячие напитки, вторые блюда и гарниры) при раздаче должны иметь температуру от +60 до +65 град. C, холодные закуски, салаты, напитки - не ниже +15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питания обучающихся горячие блюда (супы, соусы, напитки) при раздаче должны иметь температуру не ниже 75 град. C, вторые блюда и гарниры - не ниже 65 град. C, холодные супы, напитки - не выше 14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подогрев остывших ниже температуры раздачи готовых горячих блюд не допускается;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холодные закуски должны выставляться в </w:t>
      </w:r>
      <w:proofErr w:type="spellStart"/>
      <w:r>
        <w:t>порционированном</w:t>
      </w:r>
      <w:proofErr w:type="spellEnd"/>
      <w:r>
        <w:t xml:space="preserve"> виде в охлаждаемый прилавок - витрину и реализовываться в течение одного часа;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готовые к употреблению блюда из сырых овощей могут храниться в холодильнике при температуре 4 +/- 2 град. C не более 30 минут;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свежую зелень закладывают в блюда во время раздачи;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изготовление салатов и их заправка осуществляются непосредственно перед раздачей, </w:t>
      </w:r>
      <w:proofErr w:type="spellStart"/>
      <w:r>
        <w:t>незаправленные</w:t>
      </w:r>
      <w:proofErr w:type="spellEnd"/>
      <w:r>
        <w:t xml:space="preserve"> салаты допускается хранить не более 3 часов при температуре плюс 4 +/- 2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хранение заправленных салатов не допускается;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использование сметаны и майонеза для заправки салатов не допускается. Уксус в рецептурах блюд подлежит замене на лимонную кислоту;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сервировку столов и </w:t>
      </w:r>
      <w:proofErr w:type="spellStart"/>
      <w:r>
        <w:t>порционирование</w:t>
      </w:r>
      <w:proofErr w:type="spellEnd"/>
      <w:r>
        <w:t xml:space="preserve"> блюд необходимо осуществлять с использованием одноразовых перчаток для каждого вида блюд;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4) проведение бракеража готовой пищи, контроль за отбором и условиями хранения суточных проб готовой пищи: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при организации питания в организованных детских коллективах организацию контроля качества готовых блюд рекомендуется осуществлять в составе </w:t>
      </w:r>
      <w:proofErr w:type="spellStart"/>
      <w:r>
        <w:t>бракеражной</w:t>
      </w:r>
      <w:proofErr w:type="spellEnd"/>
      <w:r>
        <w:t xml:space="preserve"> комиссии с занесением результатов контроля в журнал качества готовых блюд;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результаты контроля регистрируются в журнале бракеража готовой кулинарной продукции (проводится бракераж каждого блюда - оценивается внешний вид, вкус, цвет, консистенция, готовность, масса порционных блюд на соответствие технологии изготовления блюда);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суточная проба должна отбираться от каждой партии приготовленной пищевой продукции;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- отдельно каждое блюдо или кулинарное изделие. Холодные закуски, первые блюда, гарниры и напитки (третьи блюда) должны отбираться в количестве не менее 100 грамм. Порционные кулинарные изделия должны оставляться поштучно, целиком (в объеме одной порции);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+2 град. C до +6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отбор и хранение суточной пробы должны проводиться ответственным работником организации общественного питания под руководством медицинского работника.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3. Содержание производственных помещений, оборудования и инвентаря: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1. Требования к устройству и содержанию помещений: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помещениях предприятия общественного питания не должно быть насекомых и грызунов, а также не должны содержаться синантропные птицы и животные;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предприятиях общественного питания запрещается проживание физических лиц, в производственных помещениях не допускается хранение личных вещей и комнатных растений;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для обеззараживания воздуха в помещениях, задействованных в приготовлении холодных блюд, цехах </w:t>
      </w:r>
      <w:r>
        <w:lastRenderedPageBreak/>
        <w:t xml:space="preserve">и (или) участках </w:t>
      </w:r>
      <w:proofErr w:type="spellStart"/>
      <w:r>
        <w:t>порционирования</w:t>
      </w:r>
      <w:proofErr w:type="spellEnd"/>
      <w:r>
        <w:t xml:space="preserve"> блюд, должно использоваться бактерицидное оборудование в соответствии с инструкцией по эксплуатации;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внутренняя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1) поверхности полов должны быть выполнены из водонепроницаемых, моющихся и нетоксичных материалов, быть доступными для проведения мытья и, при необходимости, дезинфекции, а также их надлежащего дренажа;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поверхности стен должны быть выполнены из водонепроницаемых, моющихся и нетоксичных материалов, которые можно подвергать мойке и при необходимости дезинфекции;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3) потолки или, при отсутствии потолков, внутренние поверхности крыш и конструкции, находящиеся над производственными помещениями, должны обеспечивать предотвращение скопления грязи, образования плесени и осыпания частиц потолков или таких поверхностей и конструкций и способствовать уменьшению конденсации влаги;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4) открывающиеся внешние окна (фрамуги) должны быть оборудованы легко снимаемыми для очищения защитными сетками от насекомых;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5) двери производственных помещений должны быть гладкими, выполненными из неабсорбирующих материалов;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запрещается ремонт производственных помещений одновременно с производством (изготовлением) пищевой продукции в таких производственных помещениях.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2. Требования к водоснабжению и </w:t>
      </w:r>
      <w:proofErr w:type="spellStart"/>
      <w:r>
        <w:t>канализованию</w:t>
      </w:r>
      <w:proofErr w:type="spellEnd"/>
      <w:r>
        <w:t>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 предприятиях общественного питания рекомендуется организация резервных источников горячего водоснабжения с разводкой по сети;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 отсутствии воды или нарушениях работы внутренней системы канализации работу предприятия общественного питания рекомендуется приостанавливать до устранения нарушений;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 всем моечным ваннам и производственным раковинам, при необходимости - к технологическому оборудованию, должна быть подведена холодная и горячая вода;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все производственные цеха оборудуются раковинами для мытья рук с подводкой горячей и холодной воды, со смесителями, при подаче горячей и холодной воды, осуществляемой через смесители, рекомендуется оборудование локтевых приводов, исключающих повторное загрязнение рук после мытья;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температура горячей воды в точке разбора должна быть не ниже 65 град. C;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производственное оборудование и моечные ванны присоединяются к канализационной сети с воздушным разрывом не менее 20 миллиметров от верха приемной воронки;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все производственные цеха, моечные, дефростер, загрузочную, камеру хранения пищевых отходов следует оборудовать сливными трапами с уклоном пола к ним;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тамбуре туалета для персонала следует предусматривать отдельный кран со смесителем на уровне 0,5 метра от пола для забора воды, предназначенной для мытья полов, а также сливной трап с уклоном к нему.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3. Требования к оборудованию и инвентарю: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раздельного хранения сырых и готовых продуктов, их технологической обработки и раздачи рекомендуется использовать раздельное и специально промаркированное оборудование, разделочный инвентарь, кухонную посуду с рекомендуемым вариантом маркировки: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холодильное оборудование с маркировкой "гастрономия", "молочные продукты", "мясо, птица", "рыба", "фрукты, овощи", "яйцо" и другие;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производственные столы с маркировкой "СМ" - сырое мясо, "СК" - сырые куры, "СР" - сырая рыба, "СО" - сырые овощи, "ВМ" - вареное мясо, "ВР" - вареная рыба, "ВО" - вареные овощи, "Г" - гастрономия, "З" </w:t>
      </w:r>
      <w:r>
        <w:lastRenderedPageBreak/>
        <w:t>- зелень, "Х" - хлеб и другие;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разделочный инвентарь (разделочные доски и ножи) с маркировкой "СМ", "СК", "СР", "СО", "ВМ", "ВР", "ВК" - вареные куры, "ВО", "Г", "З", "Х", "сельдь";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кухонная посуда с маркировкой "I блюдо", "II блюдо", "III блюдо", "молоко", "СО" "СМ", "СК", "ВО", "СР", "крупы", "сахар", "масло", "сметана", "фрукты", "яйцо чистое", "гарниры", "Х", "З", "Г" и другие;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не рекомендуется использование кухонной и столовой посуды деформированной, с отбитыми краями, трещинами и сколами.</w:t>
      </w:r>
    </w:p>
    <w:p w:rsidR="00AE4724" w:rsidRDefault="00AE472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4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724" w:rsidRDefault="00AE472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E4724" w:rsidRDefault="00AE4724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</w:tr>
    </w:tbl>
    <w:p w:rsidR="00AE4724" w:rsidRDefault="00AE4724">
      <w:pPr>
        <w:pStyle w:val="ConsPlusNormal"/>
        <w:spacing w:before="260"/>
        <w:ind w:firstLine="540"/>
        <w:jc w:val="both"/>
      </w:pPr>
      <w:r>
        <w:t>5. Соблюдение работниками правил личной гигиены, медосмотры, гигиеническое обучение и аттестация, вакцинация: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1. Предварительные и периодические медицинские осмотры.</w:t>
      </w:r>
    </w:p>
    <w:p w:rsidR="00AE4724" w:rsidRDefault="00AE472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4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724" w:rsidRDefault="00AE472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E4724" w:rsidRDefault="00AE472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 Минздрава России от 28.01.2021 N 29н имеет наименование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а не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</w:t>
            </w:r>
            <w:bookmarkStart w:id="1" w:name="_GoBack"/>
            <w:r>
              <w:rPr>
                <w:color w:val="392C69"/>
              </w:rPr>
              <w:t>обследо</w:t>
            </w:r>
            <w:bookmarkEnd w:id="1"/>
            <w:r>
              <w:rPr>
                <w:color w:val="392C69"/>
              </w:rPr>
              <w:t>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724" w:rsidRDefault="00AE4724">
            <w:pPr>
              <w:spacing w:after="1" w:line="0" w:lineRule="atLeast"/>
            </w:pPr>
          </w:p>
        </w:tc>
      </w:tr>
    </w:tbl>
    <w:p w:rsidR="00AE4724" w:rsidRDefault="00AE4724">
      <w:pPr>
        <w:pStyle w:val="ConsPlusNormal"/>
        <w:spacing w:before="260"/>
        <w:ind w:firstLine="540"/>
        <w:jc w:val="both"/>
      </w:pPr>
      <w:r>
        <w:t xml:space="preserve">Персонал пищеблоков организаций и учреждений для детей и подростков проходит предварительные, при поступлении на работу, и периодические медицинские осмотры в соответствии с требованиями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28.01.2021 N 29н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труда", а также имеет личные медицинские книжки с отметками о прохождении медицинских осмотров, обследований и исследований.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2. Гигиеническое обучение и аттестация.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Кратность прохождения гигиенического обучения и аттестации на знание действующих санитарных норм и правил: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работников пищеблоков и лиц, участвующих в раздаче пищи детям, дошкольных организаций - не реже 1 раза в год;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работников пищеблоков общеобразовательных и профессиональных образовательных организаций - не реже 1 раза в 2 года;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организаторов питания в общеобразовательных и профессиональных образовательных организациях - не реже 1 раза в год;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работников пищеблоков загородных сезонных детских и подростковых оздоровительных организаций - перед началом работы;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неаттестованный персонал организаций проходит повторное обучение с последующей переаттестацией.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3. Вакцинация.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Работники организаций должны быть привиты в соответствии с национальным календарем профилактических прививок: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дифтерии и столбняка (ревакцинация проводится каждые 10 лет от момента последней ревакцинации);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кори лица: медицинские работники, учителя - без ограничения возраста, остальные категории - до 55 лет (2 прививки);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краснухи - женщины до 25 лет (2 прививки);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клещевого энцефалита на эндемичных территориях в соответствии с инструкцией по применению;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гриппа без ограничения возраста ежегодно;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против гепатита B до 55 лет (3 прививки);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против гепатита A без ограничения возраста (2 прививки) и дизентерии </w:t>
      </w:r>
      <w:proofErr w:type="spellStart"/>
      <w:r>
        <w:t>Зонне</w:t>
      </w:r>
      <w:proofErr w:type="spellEnd"/>
      <w:r>
        <w:t xml:space="preserve"> без ограничения возраста (ежегодно) - прививаются сотрудники пищеблоков.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4. Ежедневные осмотры перед началом работы.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Медицинский персонал (при наличии) или назначенное ответственное лицо предприятия общественного питания должны проводить ежедневный осмотр работников, занятых изготовлением продукции общественного питания,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должны заноситься в гигиенический </w:t>
      </w:r>
      <w:hyperlink r:id="rId31" w:history="1">
        <w:r>
          <w:rPr>
            <w:color w:val="0000FF"/>
          </w:rPr>
          <w:t>журнал</w:t>
        </w:r>
      </w:hyperlink>
      <w:r>
        <w:t xml:space="preserve"> согласно приложению N 1 СанПиН 2.3/2.4.3590-20 на бумажном и (или)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5. Контроль за соблюдением правил личной гигиены персоналом пищеблока.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застегивать рабочую спецодежду булавками.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использовать одноразовые перчатки при </w:t>
      </w:r>
      <w:proofErr w:type="spellStart"/>
      <w:r>
        <w:t>порционировании</w:t>
      </w:r>
      <w:proofErr w:type="spellEnd"/>
      <w: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Также запрещается принимать пищу непосредственно в производственных помещениях и не допускается привлечение к приготовлению, </w:t>
      </w:r>
      <w:proofErr w:type="spellStart"/>
      <w:r>
        <w:t>порционированию</w:t>
      </w:r>
      <w:proofErr w:type="spellEnd"/>
      <w: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6. Контроль за хранением и утилизацией пищевых отходов.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Для сбора и утилизации пищевых отходов возможна установка кухонных </w:t>
      </w:r>
      <w:proofErr w:type="spellStart"/>
      <w:r>
        <w:t>измельчителей</w:t>
      </w:r>
      <w:proofErr w:type="spellEnd"/>
      <w:r>
        <w:t xml:space="preserve"> пищевых отходов, для твердых коммунальных отходов - оборудования для прессовки.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хранения.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отходов, в первую очередь, пищевых отходов.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6. Проведение уборки, мойки, дезинфекции, дезинсекции и дератизации.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Все помещения, предназначенные для организации общественного питания, должны подвергаться уборке.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 после каждого использования.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Для уборки производственных и санитарно-бытовых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Уборочный инвентарь для туалета должен храниться отдельно от инвентаря для уборки других помещений.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режимов.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Ванны для обработки столовой и кухонной посуды в производственных цехах по окончании работы промываются горячей водой (не ниже 45 град. C) и дезинфицируются с использованием дезинфицирующих средств в соответствии с инструкциями по их применению.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целях исключения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Емкости с рабочими растворами дезинфицирующих,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Контроль за содержанием действующих веществ дезинфицирующих средств должен осуществляться в соответствии с программой производственного контроля.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Использование ртутных термометров при организации общественного питания не допускается.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Контроль за качеством дезинфекции помещений пищеблока, оборудования, посуды и инвентаря: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туалетах рекомендуется проводить ежедневную уборку с применением чистящих, моющих и дезинфицирующих средств;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обязательно наличие и соблюдение инструкций по дезинфекции на рабочих местах (соблюдение порядка разведения, концентрации, условий и сроков хранения рабочих растворов дезинфекционных средств и их применение на местах);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в запасе достаточного количества дезинфицирующих средства с учетом кратности и объемов проводимой уборки (2-недельный запас).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В целях контроля за соблюдением требований санитарных правил мытья столовой и кухонной посуды и разделочного инвентаря в предприятиях питания разрабатывается инструкция о правилах мытья посуды и инвентаря. Инструкция вывешивается в помещениях моечных в местах ручной мойки посуды и инвентаря: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1) при механической мойке посуды на специализированных моечных машинах;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 xml:space="preserve">соблюдение </w:t>
      </w:r>
      <w:proofErr w:type="spellStart"/>
      <w:r>
        <w:t>прилагающейся</w:t>
      </w:r>
      <w:proofErr w:type="spellEnd"/>
      <w:r>
        <w:t xml:space="preserve"> инструкции по эксплуатации моечной машины;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моющего средства;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исправность оборудования;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при мытье посуды ручным способом;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инструкции по мытью посуды используемым в данный момент моющим средством;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мерной емкости для дозирования моющего средства;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разметки литража в моечных ваннах;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порядка обработки посуды и инвентаря;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соблюдение температуры воды в моечных ваннах (не ниже 40 град. C при мытье посуды, не менее 65 град. C при ополаскивании посуды);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организация сушки тарелок на ребре;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прокаливание столовых приборов при необходимости;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хранение столовых приборов в металлических кассетах ручками вверх;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обеспечение качественного мытья посуды и механического оборудования (мясорубки, протирочные машины);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наличие в запасе достаточного количества моющих средств (2-недельный запас).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7. Проведение производственного контроля.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Оценка наличия и выполнения программы производственного лабораторного контроля и ее исполнения по всем факторам (пищевая продукция, вода, смывы) по протоколам лабораторных испытаний, проведенных на базе аккредитованной лаборатории.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8. Контроль за организацией питьевого режима: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1)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фонтанчика должна ежедневно обрабатываться с применением моющих и дезинфицирующих средств;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2)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посуды, контейнеров для сбора использованной посуды одноразового применения;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3) упакованная (бутилированная)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lastRenderedPageBreak/>
        <w:t>4)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5) организация питьевого режима с использованием кипяченой питьевой воды при условии соблюдения следующих требований: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кипятить воду нужно не менее 5 минут;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AE4724" w:rsidRDefault="00AE4724">
      <w:pPr>
        <w:pStyle w:val="ConsPlusNormal"/>
        <w:spacing w:before="200"/>
        <w:ind w:firstLine="540"/>
        <w:jc w:val="both"/>
      </w:pPr>
      <w:r>
        <w:t>смену воды в емкости для ее раздачи необходимо проводить не реже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jc w:val="both"/>
      </w:pPr>
    </w:p>
    <w:p w:rsidR="00AE4724" w:rsidRDefault="00AE47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3FF" w:rsidRDefault="00A323FF"/>
    <w:sectPr w:rsidR="00A323FF" w:rsidSect="0099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24"/>
    <w:rsid w:val="00A323FF"/>
    <w:rsid w:val="00A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2A448-7316-40FA-8B01-01614D8F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4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AE47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F8E5132AE5C0A32F3B302687B4FB332FFDD9DB9EAA83DEA06B111C53B94EA18055B4D061BAB39C7C3905B29815DBCA1019C1A74F5B740547A96AEAu465D" TargetMode="External"/><Relationship Id="rId13" Type="http://schemas.openxmlformats.org/officeDocument/2006/relationships/hyperlink" Target="consultantplus://offline/ref=E1F8E5132AE5C0A32F3B2E2B91D8A5392DF380D79FAA8F8FF436174B0CE948F4D215EA8920FDA09D792707B39Du16CD" TargetMode="External"/><Relationship Id="rId18" Type="http://schemas.openxmlformats.org/officeDocument/2006/relationships/hyperlink" Target="consultantplus://offline/ref=E1F8E5132AE5C0A32F3B2E2B91D8A5392DF285DF98A98F8FF436174B0CE948F4C015B28522FEBE99743251E2DB4B82995752CCA052477402u56BD" TargetMode="External"/><Relationship Id="rId26" Type="http://schemas.openxmlformats.org/officeDocument/2006/relationships/hyperlink" Target="consultantplus://offline/ref=E1F8E5132AE5C0A32F3B2E2B91D8A5392DF080D39AAE8F8FF436174B0CE948F4C015B28522FEBE99753251E2DB4B82995752CCA052477402u56B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1F8E5132AE5C0A32F3B2E2B91D8A5392DFE87DE98AA8F8FF436174B0CE948F4D215EA8920FDA09D792707B39Du16CD" TargetMode="External"/><Relationship Id="rId7" Type="http://schemas.openxmlformats.org/officeDocument/2006/relationships/hyperlink" Target="consultantplus://offline/ref=E1F8E5132AE5C0A32F3B302687B4FB332FFDD9DB9EAA83DEA06B111C53B94EA18055B4D061BAB39C7C3905B39615DBCA1019C1A74F5B740547A96AEAu465D" TargetMode="External"/><Relationship Id="rId12" Type="http://schemas.openxmlformats.org/officeDocument/2006/relationships/hyperlink" Target="consultantplus://offline/ref=E1F8E5132AE5C0A32F3B302687B4FB332FFDD9DB9EAA83DEA06B111C53B94EA18055B4D061BAB39C7C3905B09F15DBCA1019C1A74F5B740547A96AEAu465D" TargetMode="External"/><Relationship Id="rId17" Type="http://schemas.openxmlformats.org/officeDocument/2006/relationships/hyperlink" Target="consultantplus://offline/ref=E1F8E5132AE5C0A32F3B2E2B91D8A5392DFE87DE9CA88F8FF436174B0CE948F4C015B28522FEBE9C7F3251E2DB4B82995752CCA052477402u56BD" TargetMode="External"/><Relationship Id="rId25" Type="http://schemas.openxmlformats.org/officeDocument/2006/relationships/hyperlink" Target="consultantplus://offline/ref=E1F8E5132AE5C0A32F3B2E2B91D8A5392DF285DF98A98F8FF436174B0CE948F4C015B28522FEBC98743251E2DB4B82995752CCA052477402u56B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F8E5132AE5C0A32F3B2E2B91D8A5392DF080D39AAE8F8FF436174B0CE948F4C015B28522FEBE9E7B3251E2DB4B82995752CCA052477402u56BD" TargetMode="External"/><Relationship Id="rId20" Type="http://schemas.openxmlformats.org/officeDocument/2006/relationships/hyperlink" Target="consultantplus://offline/ref=E1F8E5132AE5C0A32F3B2E2B91D8A5392DF18FD59DAD8F8FF436174B0CE948F4C015B28522FEBE9D783251E2DB4B82995752CCA052477402u56BD" TargetMode="External"/><Relationship Id="rId29" Type="http://schemas.openxmlformats.org/officeDocument/2006/relationships/hyperlink" Target="consultantplus://offline/ref=E1F8E5132AE5C0A32F3B2E2B91D8A5392DF080D39AAE8F8FF436174B0CE948F4C015B28522FEBD9B7D3251E2DB4B82995752CCA052477402u56B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F8E5132AE5C0A32F3B302687B4FB332FFDD9DB9EAA83DEA06B111C53B94EA18055B4D073BAEB907E3A1BB39A008D9B56u46ED" TargetMode="External"/><Relationship Id="rId11" Type="http://schemas.openxmlformats.org/officeDocument/2006/relationships/hyperlink" Target="consultantplus://offline/ref=E1F8E5132AE5C0A32F3B302687B4FB332FFDD9DB9EAA83DEA06B111C53B94EA18055B4D061BAB39C7C3905B19915DBCA1019C1A74F5B740547A96AEAu465D" TargetMode="External"/><Relationship Id="rId24" Type="http://schemas.openxmlformats.org/officeDocument/2006/relationships/hyperlink" Target="consultantplus://offline/ref=E1F8E5132AE5C0A32F3B2E2B91D8A5392DF285DF98A98F8FF436174B0CE948F4C015B28522FEBC99753251E2DB4B82995752CCA052477402u56BD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1F8E5132AE5C0A32F3B302687B4FB332FFDD9DB9FAA83DEAB67111C53B94EA18055B4D061BAB39C7C380CB69915DBCA1019C1A74F5B740547A96AEAu465D" TargetMode="External"/><Relationship Id="rId15" Type="http://schemas.openxmlformats.org/officeDocument/2006/relationships/hyperlink" Target="consultantplus://offline/ref=E1F8E5132AE5C0A32F3B2E2B91D8A5392DF182DE9FA38F8FF436174B0CE948F4C015B28522FEBF9E7B3251E2DB4B82995752CCA052477402u56BD" TargetMode="External"/><Relationship Id="rId23" Type="http://schemas.openxmlformats.org/officeDocument/2006/relationships/hyperlink" Target="consultantplus://offline/ref=E1F8E5132AE5C0A32F3B2E2B91D8A5392DF285DF98A98F8FF436174B0CE948F4C015B28522FEBC9E7F3251E2DB4B82995752CCA052477402u56BD" TargetMode="External"/><Relationship Id="rId28" Type="http://schemas.openxmlformats.org/officeDocument/2006/relationships/hyperlink" Target="consultantplus://offline/ref=E1F8E5132AE5C0A32F3B2E2B91D8A5392DF285DF98A98F8FF436174B0CE948F4C015B28522FEBA9F753251E2DB4B82995752CCA052477402u56BD" TargetMode="External"/><Relationship Id="rId10" Type="http://schemas.openxmlformats.org/officeDocument/2006/relationships/hyperlink" Target="consultantplus://offline/ref=E1F8E5132AE5C0A32F3B2E2B91D8A5392DF383D19BAD8F8FF436174B0CE948F4D215EA8920FDA09D792707B39Du16CD" TargetMode="External"/><Relationship Id="rId19" Type="http://schemas.openxmlformats.org/officeDocument/2006/relationships/hyperlink" Target="consultantplus://offline/ref=E1F8E5132AE5C0A32F3B2E2B91D8A5392DF787D79CAB8F8FF436174B0CE948F4C015B28522FEBE9C753251E2DB4B82995752CCA052477402u56BD" TargetMode="External"/><Relationship Id="rId31" Type="http://schemas.openxmlformats.org/officeDocument/2006/relationships/hyperlink" Target="consultantplus://offline/ref=E1F8E5132AE5C0A32F3B2E2B91D8A5392DF080D39AAE8F8FF436174B0CE948F4C015B28522FEBC947A3251E2DB4B82995752CCA052477402u56B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1F8E5132AE5C0A32F3B302687B4FB332FFDD9DB9EAA83DEA06B111C53B94EA18055B4D061BAB39C7C3905B19C15DBCA1019C1A74F5B740547A96AEAu465D" TargetMode="External"/><Relationship Id="rId14" Type="http://schemas.openxmlformats.org/officeDocument/2006/relationships/hyperlink" Target="consultantplus://offline/ref=E1F8E5132AE5C0A32F3B2E2B91D8A5392DF186D395AE8F8FF436174B0CE948F4C015B28522FEBE997B3251E2DB4B82995752CCA052477402u56BD" TargetMode="External"/><Relationship Id="rId22" Type="http://schemas.openxmlformats.org/officeDocument/2006/relationships/hyperlink" Target="consultantplus://offline/ref=E1F8E5132AE5C0A32F3B2E2B91D8A5392DF285DF98A98F8FF436174B0CE948F4C015B28522FEBC9E7E3251E2DB4B82995752CCA052477402u56BD" TargetMode="External"/><Relationship Id="rId27" Type="http://schemas.openxmlformats.org/officeDocument/2006/relationships/hyperlink" Target="consultantplus://offline/ref=E1F8E5132AE5C0A32F3B2E2B91D8A5392DF285DF98A98F8FF436174B0CE948F4C015B28522FEBE9A7A3251E2DB4B82995752CCA052477402u56BD" TargetMode="External"/><Relationship Id="rId30" Type="http://schemas.openxmlformats.org/officeDocument/2006/relationships/hyperlink" Target="consultantplus://offline/ref=E1F8E5132AE5C0A32F3B2E2B91D8A5392DF182D599A98F8FF436174B0CE948F4D215EA8920FDA09D792707B39Du16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7195</Words>
  <Characters>41012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2022-05-23T03:58:00Z</dcterms:created>
  <dcterms:modified xsi:type="dcterms:W3CDTF">2022-05-23T04:03:00Z</dcterms:modified>
</cp:coreProperties>
</file>