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5E" w:rsidRDefault="00461D5E" w:rsidP="00461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П.п.2.2-2.3.     В МОО Нижнесергинского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-2023 учебном  году проблема посещаемости занятий решалась на удовлетворительном  уровне: в образовательный процесс были вовлечены все  4315 несовершеннолетних, подлежащих получению общего образования. Ежемесячно выявлялись 5-7 учащихся 7-9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классов,  допускавших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систематические пропуски без уважительной причины из-за отсутствия контроля родителей и крайне низкой учебной мотивации. Администрации МОО принимали меры к сокращению проблемы необоснованных пропусков уроков путём привлечения возможностей ПДН МО МВД России «Нижнесергинский» и ТКДН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ЗП Нижнесергинского района.   </w:t>
      </w:r>
    </w:p>
    <w:p w:rsidR="00461D5E" w:rsidRPr="00806960" w:rsidRDefault="00461D5E" w:rsidP="00461D5E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6960">
        <w:rPr>
          <w:rFonts w:ascii="Times New Roman" w:hAnsi="Times New Roman" w:cs="Times New Roman"/>
          <w:sz w:val="28"/>
          <w:szCs w:val="28"/>
        </w:rPr>
        <w:t xml:space="preserve">Летом 2023г. в четырёх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06960">
        <w:rPr>
          <w:rFonts w:ascii="Times New Roman" w:hAnsi="Times New Roman" w:cs="Times New Roman"/>
          <w:sz w:val="28"/>
          <w:szCs w:val="28"/>
        </w:rPr>
        <w:t xml:space="preserve"> поселениях, входящих в состав Нижнесергинского муниципального </w:t>
      </w:r>
      <w:proofErr w:type="gramStart"/>
      <w:r w:rsidRPr="00806960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60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уются</w:t>
      </w:r>
      <w:proofErr w:type="gramEnd"/>
      <w:r w:rsidRPr="00806960">
        <w:rPr>
          <w:rFonts w:ascii="Times New Roman" w:hAnsi="Times New Roman" w:cs="Times New Roman"/>
          <w:sz w:val="28"/>
          <w:szCs w:val="28"/>
        </w:rPr>
        <w:t xml:space="preserve"> трудовы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6960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6960">
        <w:rPr>
          <w:rFonts w:ascii="Times New Roman" w:hAnsi="Times New Roman" w:cs="Times New Roman"/>
          <w:sz w:val="28"/>
          <w:szCs w:val="28"/>
        </w:rPr>
        <w:t xml:space="preserve"> подростков через службу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. Планируется обеспечить временное трудоустройство 275 подростков, при этом особое внимание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уделено  трудоустройству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подростков, состоящих на разных видах профилактического учёта.</w:t>
      </w:r>
    </w:p>
    <w:p w:rsidR="00461D5E" w:rsidRPr="00E8521B" w:rsidRDefault="00461D5E" w:rsidP="00461D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профилактической работе с подростками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 взаимодействуют с муниципальными учреждениями спорта и молодёжной </w:t>
      </w:r>
      <w:proofErr w:type="gramStart"/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>политики  и</w:t>
      </w:r>
      <w:proofErr w:type="gramEnd"/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 культуры  как  учреждениями  профилактики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 ст. 24 Федерального закона № 120-ФЗ от 24.06.1999г.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61D5E" w:rsidRPr="00E8521B" w:rsidRDefault="00461D5E" w:rsidP="00461D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Около 70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%  обучающихся</w:t>
      </w:r>
      <w:proofErr w:type="gramEnd"/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>, состоящих на профилактических учётах, вовлечены в спортивные секции и объединения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интересам в эти учреждения, а также в объединения в учреждениях дополнительного образования.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сос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тоящих на учёте в ПДН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01.06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г.), с периодичностью занимаются в спортивных объединениях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 (или 18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подростков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состоящих на учёте в ТКДН и ЗП), в  т.ч. в летний период.   </w:t>
      </w:r>
    </w:p>
    <w:p w:rsidR="00461D5E" w:rsidRPr="00E8521B" w:rsidRDefault="00461D5E" w:rsidP="00461D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Во всех 6 муниципальных поселениях в учреждениях физической культуры, спорта и молодёжной политики летом продолжают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аботать 33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>( из</w:t>
      </w:r>
      <w:proofErr w:type="gramEnd"/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спортивные секции и объединения по интересам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подростков. Их посещают около 46</w:t>
      </w: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подростков и молодёжи при меняющемся летнем списочном составе. </w:t>
      </w:r>
    </w:p>
    <w:p w:rsidR="00461D5E" w:rsidRPr="00E8521B" w:rsidRDefault="00461D5E" w:rsidP="00461D5E">
      <w:pPr>
        <w:tabs>
          <w:tab w:val="left" w:pos="41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1943" w:rsidRDefault="001D1943"/>
    <w:sectPr w:rsidR="001D1943" w:rsidSect="00250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10"/>
    <w:rsid w:val="001D1943"/>
    <w:rsid w:val="00461D5E"/>
    <w:rsid w:val="0081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1D26"/>
  <w15:chartTrackingRefBased/>
  <w15:docId w15:val="{B964E129-FEC2-4DB2-AA71-2DC5EF55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2023-06-05T11:22:00Z</dcterms:created>
  <dcterms:modified xsi:type="dcterms:W3CDTF">2023-06-05T11:24:00Z</dcterms:modified>
</cp:coreProperties>
</file>